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B6" w:rsidRPr="001E77B6" w:rsidRDefault="001E77B6" w:rsidP="001E77B6">
      <w:pPr>
        <w:shd w:val="clear" w:color="auto" w:fill="DEDFCE"/>
        <w:spacing w:after="15" w:line="324" w:lineRule="auto"/>
        <w:jc w:val="lef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color w:val="5B460F"/>
          <w:sz w:val="18"/>
          <w:szCs w:val="18"/>
          <w:bdr w:val="none" w:sz="0" w:space="0" w:color="auto" w:frame="1"/>
        </w:rPr>
        <w:drawing>
          <wp:inline distT="0" distB="0" distL="0" distR="0">
            <wp:extent cx="4781550" cy="1076325"/>
            <wp:effectExtent l="19050" t="0" r="0" b="0"/>
            <wp:docPr id="1" name="logo" descr="mhtml:file://C:\Documents%20and%20Settings\benq\Desktop\m_education%20-%20ศธ_แถลงข่าวข้อเท็จจริงเรื่องสเป็กแท็บเล็ต.mht!http://www.moe-news.net/templates/tw_moe/images/popup_heade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mhtml:file://C:\Documents%20and%20Settings\benq\Desktop\m_education%20-%20ศธ_แถลงข่าวข้อเท็จจริงเรื่องสเป็กแท็บเล็ต.mht!http://www.moe-news.net/templates/tw_moe/images/popup_heade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CFBF7"/>
        <w:tblCellMar>
          <w:left w:w="0" w:type="dxa"/>
          <w:right w:w="0" w:type="dxa"/>
        </w:tblCellMar>
        <w:tblLook w:val="04A0"/>
      </w:tblPr>
      <w:tblGrid>
        <w:gridCol w:w="9026"/>
      </w:tblGrid>
      <w:tr w:rsidR="001E77B6" w:rsidRPr="001E77B6" w:rsidTr="001E77B6">
        <w:trPr>
          <w:tblCellSpacing w:w="0" w:type="dxa"/>
        </w:trPr>
        <w:tc>
          <w:tcPr>
            <w:tcW w:w="3850" w:type="pct"/>
            <w:shd w:val="clear" w:color="auto" w:fill="FCFBF7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1"/>
              <w:gridCol w:w="405"/>
            </w:tblGrid>
            <w:tr w:rsidR="001E77B6" w:rsidRPr="001E77B6" w:rsidTr="001E77B6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:rsidR="001E77B6" w:rsidRPr="001E77B6" w:rsidRDefault="001E77B6" w:rsidP="001E77B6">
                  <w:pPr>
                    <w:spacing w:before="225" w:line="264" w:lineRule="auto"/>
                    <w:jc w:val="left"/>
                    <w:rPr>
                      <w:rFonts w:ascii="Tahoma" w:eastAsia="Times New Roman" w:hAnsi="Tahoma" w:cs="Tahoma"/>
                      <w:color w:val="5B460F"/>
                      <w:sz w:val="32"/>
                      <w:szCs w:val="32"/>
                    </w:rPr>
                  </w:pPr>
                  <w:r w:rsidRPr="001E77B6">
                    <w:rPr>
                      <w:rFonts w:ascii="Tahoma" w:eastAsia="Times New Roman" w:hAnsi="Tahoma" w:cs="Tahoma"/>
                      <w:color w:val="5B460F"/>
                      <w:sz w:val="32"/>
                      <w:szCs w:val="32"/>
                      <w:cs/>
                    </w:rPr>
                    <w:t>ศธ.แถลงข่าวข้อเท็จจริง</w:t>
                  </w:r>
                  <w:proofErr w:type="spellStart"/>
                  <w:r w:rsidRPr="001E77B6">
                    <w:rPr>
                      <w:rFonts w:ascii="Tahoma" w:eastAsia="Times New Roman" w:hAnsi="Tahoma" w:cs="Tahoma"/>
                      <w:color w:val="5B460F"/>
                      <w:sz w:val="32"/>
                      <w:szCs w:val="32"/>
                      <w:cs/>
                    </w:rPr>
                    <w:t>เรื่องสเป็กแท็บเล็ต</w:t>
                  </w:r>
                  <w:proofErr w:type="spellEnd"/>
                  <w:r w:rsidRPr="001E77B6">
                    <w:rPr>
                      <w:rFonts w:ascii="Tahoma" w:eastAsia="Times New Roman" w:hAnsi="Tahoma" w:cs="Tahoma"/>
                      <w:color w:val="5B460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000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1E77B6" w:rsidRPr="001E77B6" w:rsidRDefault="001E77B6" w:rsidP="001E77B6">
                  <w:pPr>
                    <w:spacing w:line="324" w:lineRule="auto"/>
                    <w:jc w:val="right"/>
                    <w:rPr>
                      <w:rFonts w:ascii="Tahoma" w:eastAsia="Times New Roman" w:hAnsi="Tahoma" w:cs="Tahoma"/>
                      <w:sz w:val="32"/>
                      <w:szCs w:val="32"/>
                    </w:rPr>
                  </w:pPr>
                  <w:r w:rsidRPr="001E77B6">
                    <w:rPr>
                      <w:rFonts w:ascii="Tahoma" w:eastAsia="Times New Roman" w:hAnsi="Tahoma" w:cs="Tahoma"/>
                      <w:noProof/>
                      <w:color w:val="5B460F"/>
                      <w:sz w:val="32"/>
                      <w:szCs w:val="3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พิมพ์">
                          <a:hlinkClick xmlns:a="http://schemas.openxmlformats.org/drawingml/2006/main" r:id="rId7" tgtFrame="_blank" tooltip="พิมพ์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พิมพ์">
                                  <a:hlinkClick r:id="rId7" tgtFrame="_blank" tooltip="พิมพ์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77B6" w:rsidRPr="001E77B6" w:rsidRDefault="001E77B6" w:rsidP="001E77B6">
            <w:pPr>
              <w:shd w:val="clear" w:color="auto" w:fill="FCFBF7"/>
              <w:spacing w:line="324" w:lineRule="auto"/>
              <w:jc w:val="left"/>
              <w:rPr>
                <w:rFonts w:ascii="Tahoma" w:eastAsia="Times New Roman" w:hAnsi="Tahoma" w:cs="Tahoma"/>
                <w:vanish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1E77B6" w:rsidRPr="001E77B6" w:rsidTr="001E77B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36"/>
                  </w:tblGrid>
                  <w:tr w:rsidR="001E77B6" w:rsidRPr="001E77B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E77B6" w:rsidRPr="001E77B6" w:rsidRDefault="001E77B6" w:rsidP="001E77B6">
                        <w:pPr>
                          <w:spacing w:before="150" w:after="225" w:line="324" w:lineRule="auto"/>
                          <w:jc w:val="left"/>
                          <w:rPr>
                            <w:rFonts w:ascii="Tahoma" w:eastAsia="Times New Roman" w:hAnsi="Tahoma" w:cs="Tahoma"/>
                            <w:sz w:val="32"/>
                            <w:szCs w:val="32"/>
                          </w:rPr>
                        </w:pP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ศึกษาธิการ - นายพงศ์เทพ เทพกาญจนา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 xml:space="preserve">รัฐมนตรีว่าการกระทรวงศึกษาธิการ พร้อมด้วยนายเสริมศักดิ์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พงษ์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พานิช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รัฐมนตรีช่วยว่าการกระทรวงศึกษาธิการ ดร.พวง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เพ็ชร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 xml:space="preserve"> ชุนละเอียด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ผู้ช่วยรัฐมนตรีประจำกระทรวงศึกษาธิการ ดร.ชินภัทร ภูมิ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รัตน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เลขาธิการคณะกรรมการการศึกษาขั้นพื้นฐาน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ร่วมแถลงข่าวชี้แจงข้อเท็จจริง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เรื่องสเป็ก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ของคอมพิวเตอร์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 xml:space="preserve">ที่จะจัดซื้อในปีงบประมาณ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2556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 xml:space="preserve">เมื่อวันที่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3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 xml:space="preserve">มิถุนายน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2556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ณ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/>
                            <w:b/>
                            <w:bCs/>
                            <w:color w:val="000080"/>
                            <w:sz w:val="32"/>
                            <w:szCs w:val="32"/>
                            <w:cs/>
                          </w:rPr>
                          <w:t>ห้องประชุมราชวัลลภ</w:t>
                        </w:r>
                      </w:p>
                    </w:tc>
                  </w:tr>
                </w:tbl>
                <w:p w:rsidR="001E77B6" w:rsidRPr="001E77B6" w:rsidRDefault="001E77B6" w:rsidP="001E77B6">
                  <w:pPr>
                    <w:spacing w:line="324" w:lineRule="auto"/>
                    <w:jc w:val="left"/>
                    <w:rPr>
                      <w:rFonts w:ascii="Tahoma" w:eastAsia="Times New Roman" w:hAnsi="Tahoma" w:cs="Tahoma"/>
                      <w:sz w:val="32"/>
                      <w:szCs w:val="32"/>
                    </w:rPr>
                  </w:pPr>
                  <w:r w:rsidRPr="001E77B6">
                    <w:rPr>
                      <w:rFonts w:ascii="Tahoma" w:eastAsia="Times New Roman" w:hAnsi="Tahoma" w:cs="Tahoma"/>
                      <w:sz w:val="32"/>
                      <w:szCs w:val="32"/>
                    </w:rPr>
                    <w:pict>
                      <v:rect id="_x0000_i1025" style="width:0;height:0" o:hralign="center" o:hrstd="t" o:hr="t" fillcolor="#aca899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36"/>
                  </w:tblGrid>
                  <w:tr w:rsidR="001E77B6" w:rsidRPr="001E77B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3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30"/>
                        </w:tblGrid>
                        <w:tr w:rsidR="001E77B6" w:rsidRPr="001E77B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E77B6" w:rsidRPr="001E77B6" w:rsidRDefault="001E77B6" w:rsidP="001E77B6">
                              <w:pPr>
                                <w:spacing w:line="324" w:lineRule="auto"/>
                                <w:jc w:val="left"/>
                                <w:rPr>
                                  <w:rFonts w:ascii="Tahoma" w:eastAsia="Times New Roman" w:hAnsi="Tahoma" w:cs="Tahoma"/>
                                  <w:sz w:val="32"/>
                                  <w:szCs w:val="32"/>
                                </w:rPr>
                              </w:pPr>
                              <w:r w:rsidRPr="001E77B6">
                                <w:rPr>
                                  <w:rFonts w:ascii="Tahoma" w:eastAsia="Times New Roman" w:hAnsi="Tahoma" w:cs="Tahoma"/>
                                  <w:noProof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4762500" cy="3152775"/>
                                    <wp:effectExtent l="19050" t="0" r="0" b="0"/>
                                    <wp:docPr id="4" name="Picture 4" descr="mhtml:file://C:\Documents%20and%20Settings\benq\Desktop\m_education%20-%20ศธ_แถลงข่าวข้อเท็จจริงเรื่องสเป็กแท็บเล็ต.mht!http://www.moe-news.net/images/medias/m_education/2013/jun/3656/DSC_457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mhtml:file://C:\Documents%20and%20Settings\benq\Desktop\m_education%20-%20ศธ_แถลงข่าวข้อเท็จจริงเรื่องสเป็กแท็บเล็ต.mht!http://www.moe-news.net/images/medias/m_education/2013/jun/3656/DSC_457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3152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E77B6" w:rsidRPr="001E77B6" w:rsidRDefault="001E77B6" w:rsidP="001E77B6">
                        <w:pPr>
                          <w:spacing w:before="150" w:after="225" w:line="324" w:lineRule="auto"/>
                          <w:jc w:val="left"/>
                          <w:rPr>
                            <w:rFonts w:ascii="Tahoma" w:eastAsia="Times New Roman" w:hAnsi="Tahoma" w:cs="Tahoma"/>
                            <w:sz w:val="32"/>
                            <w:szCs w:val="32"/>
                          </w:rPr>
                        </w:pP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จากการที่ฝ่ายค้านได้มีประเด็นคำถามในการอภิปรายร่างพระราชบัญญัติงบประมาณรายจ่ายประจำปีงบประมาณ พ.ศ.2557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เรื่องสเป็ก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lastRenderedPageBreak/>
                          <w:t>ของ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ว่า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สเป็กแท็บเล็ต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ที่จะจัดซื้อในปี 2556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มีสเป็ก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ต่ำกว่าปี 2555 แต่มีราคาสูงกว่าปี 2555 นั้น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>รมว.ศธ.กล่าวว่า เมื่อ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นำสเป็กแท็บเล็ต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ของนักเรียนชั้นประถมศึกษาปีที่ 1 ปีงบประมาณ 2555 และ 2556 มาเปรียบเทียบกัน พบ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ว่าสเป็กแท็บเล็ต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ของปี 2556 สูงกว่าปี 2555 กล่าวคือ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 xml:space="preserve">1) ชนิดของ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CPU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ปี 2555 กำหนด 1 แกน (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Core)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ปี 2556 เพิ่มเป็น 2 แกน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 xml:space="preserve">2)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CPU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ปี 2555 กำหนด 1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GHz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ปี 2556 เพิ่มเป็น 1.5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GHz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 xml:space="preserve">3) หน่วยความจำหลัก ปี 2555 กำหนด 512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MB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 ปี 2556 เพิ่มเป็น 1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GB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>4) ขนาดจอภาพกำหนดไว้ที่ 7 นิ้วทั้ง 2 ปี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 xml:space="preserve">5) กล้องหน้า ปี 2555 ไม่กำหนด แต่ปี 2556 มีกล้องหน้าแบบ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VGA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 xml:space="preserve">6) กล้องหลัง ปี 2555 ไม่กำหนด แต่ในปี 2556 มีกล้องหลังความละเอียด 1.3 ล้าน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Pixel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>สำหรับระบบปฏิบัติการของ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ในปี 2555 ได้กำหนดให้ใช้ระบบ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Android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 ในขณะที่ปี 2556 กำหนดให้ใช้ได้ทั้งระบบ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Android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iOS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และ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Windows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 รวมทั้งการดาวน์โหลด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 xml:space="preserve">Application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ในปี 2556 สามารถดาวน์โหลดได้ แต่ในปี 2555 ไม่ได้กำหนดไว้ นอกจากนี้ในปี 2556 ผู้ประมูลจะต้องจัดส่งเครื่องให้ด้วย ซึ่งในปี 2555 กำหนดให้จัดส่งที่สนามบินสุวรรณภูมิเท่านั้น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>สำหรับการตั้งประเด็นเรื่องราคาจัดซื้อ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ปี 2556 สูงกว่าปี 2555 นั้น ก็เพราะว่าในปี 2555 เป็นการจัดซื้อโดยตรงจากประเทศจีนตาม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lastRenderedPageBreak/>
                          <w:t xml:space="preserve">เงื่อนไขใน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MOU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 ยกเว้นระเบียบสำนักนายกรัฐมนตรีว่าด้วยการพัสดุฯ คำนวณในราคา 82 เหรียญสหรัฐต่อเครื่อง ซึ่งในขณะนั้นอัตราแลกเปลี่ยนอยู่ที่ 32 บาทต่อ 1 เหรียญสหรัฐ คิดเป็นเงินไทย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624 บาท ไม่ตรงกับการอภิปรายในรัฐสภาที่ระบุว่าจัดซื้อในราคา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400 บาท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 xml:space="preserve">ในขณะเดียวกันงบประมาณสำหรับปี 2556 ได้มีการพิจารณาก่อนวันที่ 1 ตุลาคม 2555 เป็นวันก่อนที่ตนจะเข้ามารับตำแหน่ง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โดยสำนักงบประมาณได้ใช้สูตรคำนวณราคา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ดังนี้ เครื่องละ 82 เหรียญสหรัฐ คูณด้วยอัตราแลกเปลี่ยน 31 บาท และบวกภาษีมูลค่าเพิ่ม 7% รวมเป็นงบประมาณที่จะใช้จัดซื้อ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720 บาทต่อเครื่อง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 ซึ่งตัวเลขนี้เป็นราคาที่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สพฐ.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นำมาเป็นงบประมาณในการจัดซื้อจัดจ้างด้วยการเปิดประมูลแบบ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e-Auction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 ขณะนี้อยู่ในขั้นตอนของการขายแบบ โดยมีผู้สนใจเข้ามาซื้อแบบแล้วจำนวน 18 บริษัท แต่ยังไม่ทราบว่าใครเสนอราคาเท่าใด ดังนั้นงบประมาณ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ที่จะเสนอในร่างพระราชบัญญัติงบประมาณรายจ่ายประจำปีงบประมาณ พ.ศ.2557 นั้น ก็ใช้ราคาเดียวกันกับราคาที่กำหนดไว้ในปีงบประมาณ 2556 คือ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 xml:space="preserve">720 บาท 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ซึ่งสเป็ก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ในการจัดซื้อจัดจ้างในปี 2557 ก็จะต้องสูงขึ้น</w:t>
                        </w:r>
                        <w:proofErr w:type="spellStart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กว่าสเป็กแท็บเล็ต</w:t>
                        </w:r>
                        <w:proofErr w:type="spellEnd"/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ที่กำหนดในปี 2556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br/>
                          <w:t>รมว.ศธ.อธิบายเกี่ยวกับการเปิดประมูลว่า หากกำหนดราคาวงเงินมาให้ เช่น กำหนดเครื่องละ 3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000 บาท เมื่อเปิดประมูล ผู้ที่เสนอราคาแข่งขันกันต้องเสนอราคาต่ำกว่า 3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000 บาท อาจจะเป็น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900 บาท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700 บาท หรือ 2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500 บาท ใครให้ราคาดีที่สุด คณะกรรมการก็สามารถที่จะอนุมัติขายให้ได้ แต่ถ้าเกิน 3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</w:rPr>
                          <w:t>,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t>000 บาท ก็ยังขายไม่ได้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sz w:val="32"/>
                            <w:szCs w:val="32"/>
                            <w:cs/>
                          </w:rPr>
                          <w:lastRenderedPageBreak/>
                          <w:t>เพราะเกินงบประมาณ นอกจากนี้การจัดซื้อในครั้งนี้ ศธ.เปิดประมูลโดยให้บริษัทเข้ามาซื้อแบบ ซึ่งเชื่อว่าเป็นการจัดซื้อจัดจ้างตามวิธีการจัดซื้อจัดจ้างระเบียบสำนักนายกรัฐมนตรีว่าด้วยการพัสดุฯ ซึ่งควรจะได้ราคาดีที่สุด เพราะมีการแข่งขันกัน</w:t>
                        </w:r>
                      </w:p>
                      <w:p w:rsidR="001E77B6" w:rsidRPr="001E77B6" w:rsidRDefault="001E77B6" w:rsidP="001E77B6">
                        <w:pPr>
                          <w:spacing w:line="324" w:lineRule="auto"/>
                          <w:jc w:val="left"/>
                          <w:rPr>
                            <w:rFonts w:ascii="Tahoma" w:eastAsia="Times New Roman" w:hAnsi="Tahoma" w:cs="Tahoma"/>
                            <w:sz w:val="32"/>
                            <w:szCs w:val="32"/>
                          </w:rPr>
                        </w:pPr>
                      </w:p>
                      <w:p w:rsidR="001E77B6" w:rsidRPr="001E77B6" w:rsidRDefault="001E77B6" w:rsidP="001E77B6">
                        <w:pPr>
                          <w:spacing w:before="150" w:after="225" w:line="324" w:lineRule="auto"/>
                          <w:jc w:val="right"/>
                          <w:rPr>
                            <w:rFonts w:ascii="Tahoma" w:eastAsia="Times New Roman" w:hAnsi="Tahoma" w:cs="Tahoma"/>
                            <w:sz w:val="32"/>
                            <w:szCs w:val="32"/>
                          </w:rPr>
                        </w:pP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808080"/>
                            <w:sz w:val="32"/>
                            <w:szCs w:val="32"/>
                            <w:cs/>
                          </w:rPr>
                          <w:t>นวรัตน์ รามสูต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808080"/>
                            <w:sz w:val="32"/>
                            <w:szCs w:val="32"/>
                            <w:cs/>
                          </w:rPr>
                          <w:br/>
                          <w:t xml:space="preserve">บัลลังก์ โรหิตเสถียร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808080"/>
                            <w:sz w:val="32"/>
                            <w:szCs w:val="32"/>
                            <w:cs/>
                          </w:rPr>
                          <w:br/>
                          <w:t xml:space="preserve">สรุป/รายงาน 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808080"/>
                            <w:sz w:val="32"/>
                            <w:szCs w:val="32"/>
                            <w:cs/>
                          </w:rPr>
                          <w:br/>
                          <w:t>4/6/2556</w:t>
                        </w:r>
                        <w:r w:rsidRPr="001E77B6">
                          <w:rPr>
                            <w:rFonts w:ascii="Tahoma" w:eastAsia="Times New Roman" w:hAnsi="Tahoma" w:cs="Tahoma" w:hint="cs"/>
                            <w:b/>
                            <w:bCs/>
                            <w:color w:val="808080"/>
                            <w:sz w:val="32"/>
                            <w:szCs w:val="32"/>
                            <w:cs/>
                          </w:rPr>
                          <w:br/>
                          <w:t>ข่าวที่ 175/2556</w:t>
                        </w:r>
                      </w:p>
                    </w:tc>
                  </w:tr>
                  <w:tr w:rsidR="001E77B6" w:rsidRPr="001E77B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E77B6" w:rsidRPr="001E77B6" w:rsidRDefault="001E77B6" w:rsidP="001E77B6">
                        <w:pPr>
                          <w:spacing w:before="150" w:after="225" w:line="324" w:lineRule="auto"/>
                          <w:jc w:val="right"/>
                          <w:rPr>
                            <w:rFonts w:ascii="Tahoma" w:eastAsia="Times New Roman" w:hAnsi="Tahoma" w:cs="Tahoma"/>
                            <w:sz w:val="32"/>
                            <w:szCs w:val="32"/>
                          </w:rPr>
                        </w:pPr>
                        <w:hyperlink r:id="rId10" w:history="1">
                          <w:r w:rsidRPr="001E77B6">
                            <w:rPr>
                              <w:rFonts w:ascii="Tahoma" w:eastAsia="Times New Roman" w:hAnsi="Tahoma" w:cs="Tahoma"/>
                              <w:noProof/>
                              <w:sz w:val="32"/>
                              <w:szCs w:val="32"/>
                            </w:rPr>
                            <w:drawing>
                              <wp:anchor distT="0" distB="0" distL="0" distR="0" simplePos="0" relativeHeight="251658240" behindDoc="0" locked="0" layoutInCell="1" allowOverlap="0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790575" cy="152400"/>
                                <wp:effectExtent l="19050" t="0" r="9525" b="0"/>
                                <wp:wrapSquare wrapText="bothSides"/>
                                <wp:docPr id="6" name="Picture 2" descr="Bookmark and Share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ookmark and Share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</w:tr>
                </w:tbl>
                <w:p w:rsidR="001E77B6" w:rsidRPr="001E77B6" w:rsidRDefault="001E77B6" w:rsidP="001E77B6">
                  <w:pPr>
                    <w:spacing w:before="150" w:after="225" w:line="324" w:lineRule="auto"/>
                    <w:jc w:val="right"/>
                    <w:rPr>
                      <w:rFonts w:ascii="Tahoma" w:eastAsia="Times New Roman" w:hAnsi="Tahoma" w:cs="Tahoma"/>
                      <w:sz w:val="32"/>
                      <w:szCs w:val="32"/>
                    </w:rPr>
                  </w:pPr>
                  <w:r w:rsidRPr="001E77B6">
                    <w:rPr>
                      <w:rFonts w:ascii="Tahoma" w:eastAsia="Times New Roman" w:hAnsi="Tahoma" w:cs="Tahoma"/>
                      <w:sz w:val="32"/>
                      <w:szCs w:val="32"/>
                    </w:rPr>
                    <w:t> </w:t>
                  </w:r>
                </w:p>
                <w:p w:rsidR="001E77B6" w:rsidRPr="001E77B6" w:rsidRDefault="001E77B6" w:rsidP="001E77B6">
                  <w:pPr>
                    <w:spacing w:before="150" w:after="225" w:line="324" w:lineRule="auto"/>
                    <w:jc w:val="right"/>
                    <w:rPr>
                      <w:rFonts w:ascii="Tahoma" w:eastAsia="Times New Roman" w:hAnsi="Tahoma" w:cs="Tahoma"/>
                      <w:sz w:val="32"/>
                      <w:szCs w:val="32"/>
                    </w:rPr>
                  </w:pPr>
                  <w:r w:rsidRPr="001E77B6">
                    <w:rPr>
                      <w:rFonts w:ascii="Tahoma" w:eastAsia="Times New Roman" w:hAnsi="Tahoma" w:cs="Tahoma"/>
                      <w:sz w:val="32"/>
                      <w:szCs w:val="32"/>
                    </w:rPr>
                    <w:br/>
                  </w:r>
                  <w:hyperlink r:id="rId12" w:tgtFrame="_blank" w:history="1">
                    <w:r w:rsidRPr="001E77B6">
                      <w:rPr>
                        <w:rFonts w:ascii="Tahoma" w:eastAsia="Times New Roman" w:hAnsi="Tahoma" w:cs="Tahoma"/>
                        <w:noProof/>
                        <w:sz w:val="32"/>
                        <w:szCs w:val="32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right</wp:align>
                          </wp:positionH>
                          <wp:positionV relativeFrom="line">
                            <wp:posOffset>0</wp:posOffset>
                          </wp:positionV>
                          <wp:extent cx="1838325" cy="285750"/>
                          <wp:effectExtent l="19050" t="0" r="9525" b="0"/>
                          <wp:wrapSquare wrapText="bothSides"/>
                          <wp:docPr id="3" name="Picture 3" descr="Follow us on Twitter">
                            <a:hlinkClick xmlns:a="http://schemas.openxmlformats.org/drawingml/2006/main" r:id="rId12" tgtFrame="_blank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Follow us on Twitter">
                                    <a:hlinkClick r:id="rId12" tgtFrame="_blank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383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</w:tbl>
          <w:p w:rsidR="001E77B6" w:rsidRPr="001E77B6" w:rsidRDefault="001E77B6" w:rsidP="001E77B6">
            <w:pPr>
              <w:shd w:val="clear" w:color="auto" w:fill="FCFBF7"/>
              <w:spacing w:line="324" w:lineRule="auto"/>
              <w:jc w:val="left"/>
              <w:rPr>
                <w:rFonts w:ascii="Tahoma" w:eastAsia="Times New Roman" w:hAnsi="Tahoma" w:cs="Tahoma"/>
                <w:sz w:val="32"/>
                <w:szCs w:val="32"/>
              </w:rPr>
            </w:pPr>
            <w:r w:rsidRPr="001E77B6">
              <w:rPr>
                <w:rFonts w:ascii="Tahoma" w:eastAsia="Times New Roman" w:hAnsi="Tahoma" w:cs="Tahoma"/>
                <w:sz w:val="32"/>
                <w:szCs w:val="32"/>
              </w:rPr>
              <w:lastRenderedPageBreak/>
              <w:t xml:space="preserve">  </w:t>
            </w:r>
          </w:p>
          <w:p w:rsidR="001E77B6" w:rsidRPr="001E77B6" w:rsidRDefault="001E77B6" w:rsidP="001E77B6">
            <w:pPr>
              <w:shd w:val="clear" w:color="auto" w:fill="FCFBF7"/>
              <w:spacing w:line="324" w:lineRule="auto"/>
              <w:jc w:val="left"/>
              <w:outlineLvl w:val="3"/>
              <w:rPr>
                <w:rFonts w:ascii="Tahoma" w:eastAsia="Times New Roman" w:hAnsi="Tahoma" w:cs="Tahoma"/>
                <w:b/>
                <w:bCs/>
                <w:color w:val="2B8200"/>
                <w:sz w:val="32"/>
                <w:szCs w:val="32"/>
              </w:rPr>
            </w:pPr>
            <w:r w:rsidRPr="001E77B6">
              <w:rPr>
                <w:rFonts w:ascii="Tahoma" w:eastAsia="Times New Roman" w:hAnsi="Tahoma" w:cs="Tahoma"/>
                <w:b/>
                <w:bCs/>
                <w:color w:val="2B8200"/>
                <w:sz w:val="32"/>
                <w:szCs w:val="32"/>
              </w:rPr>
              <w:t xml:space="preserve"> </w:t>
            </w:r>
          </w:p>
          <w:p w:rsidR="001E77B6" w:rsidRPr="001E77B6" w:rsidRDefault="001E77B6" w:rsidP="001E77B6">
            <w:pPr>
              <w:shd w:val="clear" w:color="auto" w:fill="FCFBF7"/>
              <w:spacing w:before="100" w:beforeAutospacing="1" w:after="100" w:afterAutospacing="1" w:line="324" w:lineRule="auto"/>
              <w:jc w:val="left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1E77B6" w:rsidRPr="001E77B6" w:rsidRDefault="001E77B6" w:rsidP="001E77B6">
            <w:pPr>
              <w:shd w:val="clear" w:color="auto" w:fill="FCFBF7"/>
              <w:spacing w:line="324" w:lineRule="auto"/>
              <w:jc w:val="left"/>
              <w:rPr>
                <w:rFonts w:ascii="Tahoma" w:eastAsia="Times New Roman" w:hAnsi="Tahoma" w:cs="Tahoma"/>
                <w:sz w:val="32"/>
                <w:szCs w:val="32"/>
              </w:rPr>
            </w:pPr>
            <w:r w:rsidRPr="001E77B6">
              <w:rPr>
                <w:rFonts w:ascii="Tahoma" w:eastAsia="Times New Roman" w:hAnsi="Tahoma" w:cs="Tahoma"/>
                <w:sz w:val="32"/>
                <w:szCs w:val="32"/>
              </w:rPr>
              <w:fldChar w:fldCharType="begin"/>
            </w:r>
            <w:r w:rsidRPr="001E77B6">
              <w:rPr>
                <w:rFonts w:ascii="Tahoma" w:eastAsia="Times New Roman" w:hAnsi="Tahoma" w:cs="Tahoma"/>
                <w:sz w:val="32"/>
                <w:szCs w:val="32"/>
              </w:rPr>
              <w:instrText xml:space="preserve"> HYPERLINK "http://www.moe-news.net/index.php?option=com_moe_lastednews&amp;catid=17" </w:instrText>
            </w:r>
            <w:r w:rsidRPr="001E77B6">
              <w:rPr>
                <w:rFonts w:ascii="Tahoma" w:eastAsia="Times New Roman" w:hAnsi="Tahoma" w:cs="Tahoma"/>
                <w:sz w:val="32"/>
                <w:szCs w:val="32"/>
              </w:rPr>
              <w:fldChar w:fldCharType="separate"/>
            </w:r>
            <w:r w:rsidRPr="001E77B6">
              <w:rPr>
                <w:rFonts w:ascii="Tahoma" w:eastAsia="Times New Roman" w:hAnsi="Tahoma" w:cs="Tahoma"/>
                <w:sz w:val="32"/>
                <w:szCs w:val="32"/>
              </w:rPr>
              <w:fldChar w:fldCharType="end"/>
            </w:r>
          </w:p>
        </w:tc>
      </w:tr>
    </w:tbl>
    <w:p w:rsidR="001E77B6" w:rsidRPr="001E77B6" w:rsidRDefault="001E77B6" w:rsidP="001E77B6">
      <w:pPr>
        <w:shd w:val="clear" w:color="auto" w:fill="B8B69E"/>
        <w:spacing w:after="15" w:line="300" w:lineRule="atLeast"/>
        <w:rPr>
          <w:rFonts w:ascii="Tahoma" w:eastAsia="Times New Roman" w:hAnsi="Tahoma" w:cs="Tahoma"/>
          <w:b/>
          <w:bCs/>
          <w:color w:val="513C07"/>
          <w:sz w:val="18"/>
          <w:szCs w:val="18"/>
        </w:rPr>
      </w:pPr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  <w:cs/>
        </w:rPr>
        <w:lastRenderedPageBreak/>
        <w:t>กลุ่มประชาสัมพันธ์ สำนักงานรัฐมนตรี กระทรวงศึกษาธิการ</w:t>
      </w:r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</w:rPr>
        <w:t xml:space="preserve"> </w:t>
      </w:r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  <w:cs/>
        </w:rPr>
        <w:t xml:space="preserve">ถนนราชดำเนินนอก เขตดุสิต กรุงเทพฯ </w:t>
      </w:r>
      <w:proofErr w:type="gramStart"/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</w:rPr>
        <w:t xml:space="preserve">10300 </w:t>
      </w:r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  <w:cs/>
        </w:rPr>
        <w:t>โทร.</w:t>
      </w:r>
      <w:proofErr w:type="gramEnd"/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  <w:cs/>
        </w:rPr>
        <w:t xml:space="preserve"> </w:t>
      </w:r>
      <w:proofErr w:type="gramStart"/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</w:rPr>
        <w:t>02-280-0309 Fax.</w:t>
      </w:r>
      <w:proofErr w:type="gramEnd"/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</w:rPr>
        <w:t xml:space="preserve"> 02-280-0318</w:t>
      </w:r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</w:rPr>
        <w:br/>
        <w:t xml:space="preserve">Public Relations Group, Office of the Minister, </w:t>
      </w:r>
      <w:r w:rsidRPr="001E77B6">
        <w:rPr>
          <w:rFonts w:ascii="Tahoma" w:eastAsia="Times New Roman" w:hAnsi="Tahoma" w:cs="Tahoma"/>
          <w:b/>
          <w:bCs/>
          <w:color w:val="513C07"/>
          <w:sz w:val="18"/>
          <w:szCs w:val="18"/>
        </w:rPr>
        <w:br/>
        <w:t xml:space="preserve">Ministry of Education, Bangkok 10300 Thailand Tel 02-280-0309 FAX 02-280-0318 </w:t>
      </w:r>
    </w:p>
    <w:p w:rsidR="001E77B6" w:rsidRPr="001E77B6" w:rsidRDefault="001E77B6" w:rsidP="001E77B6">
      <w:pPr>
        <w:shd w:val="clear" w:color="auto" w:fill="B8B69E"/>
        <w:spacing w:after="15" w:line="300" w:lineRule="atLeast"/>
        <w:rPr>
          <w:rFonts w:ascii="Tahoma" w:eastAsia="Times New Roman" w:hAnsi="Tahoma" w:cs="Tahoma"/>
          <w:b/>
          <w:bCs/>
          <w:color w:val="513C07"/>
          <w:sz w:val="18"/>
          <w:szCs w:val="18"/>
        </w:rPr>
      </w:pPr>
      <w:hyperlink r:id="rId14" w:tgtFrame="_blank" w:tooltip="free counter" w:history="1">
        <w:r w:rsidRPr="001E77B6">
          <w:rPr>
            <w:rFonts w:ascii="Tahoma" w:eastAsia="Times New Roman" w:hAnsi="Tahoma" w:cs="Tahoma"/>
            <w:b/>
            <w:bCs/>
            <w:color w:val="513C07"/>
            <w:sz w:val="18"/>
            <w:szCs w:val="18"/>
          </w:rPr>
          <w:pict/>
        </w:r>
        <w:r w:rsidRPr="001E77B6">
          <w:rPr>
            <w:rFonts w:ascii="Tahoma" w:eastAsia="Times New Roman" w:hAnsi="Tahoma" w:cs="Tahoma"/>
            <w:b/>
            <w:bCs/>
            <w:color w:val="513C07"/>
            <w:sz w:val="18"/>
            <w:szCs w:val="18"/>
          </w:rPr>
          <w:pict/>
        </w:r>
        <w:r w:rsidRPr="001E77B6">
          <w:rPr>
            <w:rFonts w:ascii="Tahoma" w:eastAsia="Times New Roman" w:hAnsi="Tahoma" w:cs="Tahoma"/>
            <w:b/>
            <w:bCs/>
            <w:color w:val="513C07"/>
            <w:sz w:val="18"/>
            <w:szCs w:val="18"/>
          </w:rPr>
          <w:pict/>
        </w:r>
        <w:r w:rsidRPr="001E77B6">
          <w:rPr>
            <w:rFonts w:ascii="Tahoma" w:eastAsia="Times New Roman" w:hAnsi="Tahoma" w:cs="Tahoma"/>
            <w:b/>
            <w:bCs/>
            <w:color w:val="513C07"/>
            <w:sz w:val="18"/>
            <w:szCs w:val="18"/>
          </w:rPr>
          <w:pict/>
        </w:r>
      </w:hyperlink>
    </w:p>
    <w:p w:rsidR="00B0303B" w:rsidRDefault="00B0303B"/>
    <w:sectPr w:rsidR="00B0303B" w:rsidSect="00B03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3C3B"/>
    <w:multiLevelType w:val="multilevel"/>
    <w:tmpl w:val="D77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77B6"/>
    <w:rsid w:val="001E77B6"/>
    <w:rsid w:val="00B0303B"/>
    <w:rsid w:val="00B2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7B6"/>
    <w:rPr>
      <w:strike w:val="0"/>
      <w:dstrike w:val="0"/>
      <w:color w:val="5B460F"/>
      <w:u w:val="none"/>
      <w:effect w:val="none"/>
    </w:rPr>
  </w:style>
  <w:style w:type="paragraph" w:styleId="a4">
    <w:name w:val="Normal (Web)"/>
    <w:basedOn w:val="a"/>
    <w:uiPriority w:val="99"/>
    <w:unhideWhenUsed/>
    <w:rsid w:val="001E77B6"/>
    <w:pPr>
      <w:spacing w:before="150" w:after="225" w:line="240" w:lineRule="auto"/>
      <w:jc w:val="left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1E77B6"/>
    <w:rPr>
      <w:b/>
      <w:bCs/>
    </w:rPr>
  </w:style>
  <w:style w:type="character" w:customStyle="1" w:styleId="articleseperator">
    <w:name w:val="article_seperator"/>
    <w:basedOn w:val="a0"/>
    <w:rsid w:val="001E77B6"/>
  </w:style>
  <w:style w:type="paragraph" w:styleId="a6">
    <w:name w:val="Balloon Text"/>
    <w:basedOn w:val="a"/>
    <w:link w:val="a7"/>
    <w:uiPriority w:val="99"/>
    <w:semiHidden/>
    <w:unhideWhenUsed/>
    <w:rsid w:val="001E77B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E77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057923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8058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3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575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7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moe-news.net/index2.php?option=com_content&amp;task=view&amp;id=3123&amp;pop=1&amp;page=0" TargetMode="External"/><Relationship Id="rId12" Type="http://schemas.openxmlformats.org/officeDocument/2006/relationships/hyperlink" Target="http://twitter.com/edu_minis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http://www.moe-news.net/index.php?option=com_content&amp;task=view&amp;id=3123&amp;Itemid=&amp;Itemid=&amp;preview=popu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dthis.com/bookmark.php?v=250&amp;username=balla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histats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3270</Characters>
  <Application>Microsoft Office Word</Application>
  <DocSecurity>0</DocSecurity>
  <Lines>27</Lines>
  <Paragraphs>7</Paragraphs>
  <ScaleCrop>false</ScaleCrop>
  <Company>..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2013-06-24T10:08:00Z</dcterms:created>
  <dcterms:modified xsi:type="dcterms:W3CDTF">2013-06-24T10:11:00Z</dcterms:modified>
</cp:coreProperties>
</file>